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15950" cy="6889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950" cy="68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3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ПРОСВЕЩЕНИЯ</w:t>
        <w:br/>
        <w:t>РОССИЙСКОЙ ФЕДЕРАЦИИ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(МИНПРОСВЕЩЕНИЯ РОССИИ)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Департамент международного</w:t>
        <w:br/>
        <w:t>сотрудничества и связей с</w:t>
        <w:br/>
        <w:t>общественностью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Люсиновская ул., д. 51, Москва, 115093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 (495) 587-01-10, доб. 3600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"mailto:d10@edu.gov.ru"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d10@edu.gov.ru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138" w:val="left"/>
        </w:tabs>
        <w:bidi w:val="0"/>
        <w:spacing w:before="0" w:after="3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08,04,2024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№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10-710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направлении информации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международного сотрудничества и связей с общественностью Минпросвещения России информирует о проведении Российским книжным союзом совместно с Московским политехническим университетом второго международного конкурса молодежных проектов «Книга будущего» (далее - Конкурс) в целях поддержки и развития молодежных инициатив по продвижению и пропаганде чтения, обеспечения условий для профессионального и личностного развития молодежи Российской Федерации и государств-участников СНГ, оказания содействия в реализации социально значимых проектов и предоставления возможностей для синтеза и интеграции творческих проектов в федеральном масштабе, формирования онлайн- и офлайн-сообществ из самых активных молодых специалистов.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проводится по пяти номинациям: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«Новые форматы чтения» - индивидуальные или групповые проекты, посвященные новым способам и форматам чтения, с учетом актуального и будущего уровня развития техники и технологий;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«Социальная реклама» - рекламные проекты (фото, видео, плакаты), направленные на пропаганду чтения в современном или новых форматах;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«Продвижение в сети» - индивидуальные или групповые Интернет-проекты, направленные на пропаганду чтения в современном или новых форматах;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«Социальные акции и проекты» - индивидуальные или групповые акции, мероприятия, направленные на пропаганду чтения в современном или новых форматах;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«Иллюстрация будущего» - свободная тематика, формат конкурсной работы - серия иллюстраций (от 3 до 10), выполненных с учетом возможного размещения на современных и будущих книжных носителях.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заявок на конкурс осуществляется в период с 28 марта по 27 апреля 2024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Шорт-лист лучших проектов, отобранных для участия в презентации проектов в Москве, Казани и Санкт-Петербурге, будет опубликован не позднее 6 мая 2024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Принять участие в Конкурсе могут как граждане Российской Федерации от 14 до 35 лет включительно, так и граждане государств-участников СНГ в соответствии с направлениями Конкурса.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Подробная информация о Конкурсе - Рябчикова Анна Валерьевна, тел.: +7 (977) 812-98-99.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Дополнительная информация о Конкурсе доступна по адресам: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fldChar w:fldCharType="begin"/>
      </w:r>
      <w:r>
        <w:rPr/>
        <w:instrText> HYPERLINK "https://bookunion.ru/news/mezhdunarodnyy_konkurs_molodezhnykh_proektov_kni"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https://bookunion.ru/news/mezhdunarodnyy_konkurs_molodezhnykh_proektov_kni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ga_budushchego_2024/;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720"/>
        <w:jc w:val="both"/>
      </w:pPr>
      <w:r>
        <w:fldChar w:fldCharType="begin"/>
      </w:r>
      <w:r>
        <w:rPr/>
        <w:instrText> HYPERLINK "https://mospolytech.ru/news/moskovskiy-politekh-i-rossiyskiy-knizhnyy-soyuz-provodyat-konkurs-kniga-budushchego/"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https://mospolytech.ru/news/moskovskiy-politekh-i-rossiyskiy-knizhnyy-soyuz- provodyat-konkurs-kniga-budushchego/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на 8 л. в 1 экз.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21" w:lineRule="auto"/>
        <w:ind w:left="0" w:right="0" w:firstLine="0"/>
        <w:jc w:val="center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317500</wp:posOffset>
                </wp:positionV>
                <wp:extent cx="1868170" cy="222885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8170" cy="2228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5.100000000000001pt;margin-top:25.pt;width:147.09999999999999pt;height:17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Департамента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01600" distR="101600" simplePos="0" relativeHeight="125829380" behindDoc="0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317500</wp:posOffset>
                </wp:positionV>
                <wp:extent cx="1278890" cy="222885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8890" cy="2228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У.А. Рассуханов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61.69999999999999pt;margin-top:25.pt;width:100.7pt;height:17.550000000000001pt;z-index:-125829373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У.А. Рассуханов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885B06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 xml:space="preserve">hfeif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ДОКУМЕНТ ПОДПИСАН</w:t>
        <w:br/>
      </w:r>
      <w:r>
        <w:rPr>
          <w:b/>
          <w:bCs/>
          <w:color w:val="CF0202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#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ЭЛЕКТРОННОЙ ПОДПИСЬЮ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 </w:t>
      </w:r>
      <w:r>
        <w:rPr>
          <w:color w:val="000000"/>
          <w:spacing w:val="0"/>
          <w:w w:val="100"/>
          <w:position w:val="0"/>
          <w:shd w:val="clear" w:color="auto" w:fill="auto"/>
        </w:rPr>
        <w:t>BAA92B93308E4628B70EAD26DFB189ECDF14A284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Владелец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Рассуханов Усман Абдул-Азиевич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right="0" w:hanging="2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Действителен </w:t>
      </w: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vertAlign w:val="subscript"/>
          <w:lang w:val="ru-RU" w:eastAsia="ru-RU" w:bidi="ru-RU"/>
        </w:rPr>
        <w:t>с</w:t>
      </w: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 19.07.2023 по 11.10.2024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Подлинник электронного документа, подписанного электронной подписью, хранится в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единой системе электронного документооборота Министерства просвещения Российской Федерации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Ибрагимова А.Р.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(495) 587-01-10, доб. 3033</w:t>
      </w:r>
    </w:p>
    <w:sectPr>
      <w:headerReference w:type="default" r:id="rId7"/>
      <w:footerReference w:type="default" r:id="rId8"/>
      <w:headerReference w:type="even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127" w:right="531" w:bottom="1127" w:left="10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10238740</wp:posOffset>
              </wp:positionV>
              <wp:extent cx="1438910" cy="9144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89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О направлении информации - 10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6.800000000000004pt;margin-top:806.20000000000005pt;width:113.3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 направлении информации - 10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10237470</wp:posOffset>
              </wp:positionV>
              <wp:extent cx="1427480" cy="9271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27480" cy="92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О направлении информации - 10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6.399999999999999pt;margin-top:806.10000000000002pt;width:112.40000000000001pt;height:7.2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 направлении информации - 10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3925570</wp:posOffset>
              </wp:positionH>
              <wp:positionV relativeFrom="page">
                <wp:posOffset>387985</wp:posOffset>
              </wp:positionV>
              <wp:extent cx="53340" cy="8572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40" cy="857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309.10000000000002pt;margin-top:30.550000000000001pt;width:4.2000000000000002pt;height:6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Основной текст (4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8">
    <w:name w:val="Основной текст (5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CharStyle20">
    <w:name w:val="Основной текст (6)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Основной текст (3)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auto"/>
      <w:spacing w:after="240" w:line="20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auto"/>
      <w:spacing w:after="40"/>
      <w:ind w:left="1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auto"/>
      <w:spacing w:after="40"/>
      <w:ind w:left="11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2">
    <w:name w:val="Основной текст (3)"/>
    <w:basedOn w:val="Normal"/>
    <w:link w:val="CharStyle23"/>
    <w:pPr>
      <w:widowControl w:val="0"/>
      <w:shd w:val="clear" w:color="auto" w:fill="auto"/>
      <w:spacing w:after="160" w:line="221" w:lineRule="auto"/>
      <w:ind w:left="4500" w:hanging="1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Gremina</dc:creator>
  <cp:keywords/>
</cp:coreProperties>
</file>